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276"/>
        <w:jc w:val="center"/>
      </w:pPr>
      <w:r>
        <w:rPr>
          <w:rFonts w:ascii="Times New Roman" w:cs="Times New Roman" w:eastAsia="Times New Roman" w:hAnsi="Times New Roman"/>
          <w:b/>
          <w:bCs/>
          <w:sz w:val="24"/>
          <w:szCs w:val="24"/>
        </w:rPr>
        <w:t xml:space="preserve">STATE OF WYOMING</w:t>
      </w:r>
    </w:p>
    <w:p>
      <w:pPr>
        <w:spacing w:after="60" w:line="276"/>
        <w:jc w:val="center"/>
      </w:pPr>
      <w:r>
        <w:rPr>
          <w:rFonts w:ascii="Times New Roman" w:cs="Times New Roman" w:eastAsia="Times New Roman" w:hAnsi="Times New Roman"/>
          <w:sz w:val="24"/>
          <w:szCs w:val="24"/>
        </w:rPr>
        <w:t xml:space="preserve">2027 GENERAL SESSION</w:t>
      </w:r>
    </w:p>
    <w:p>
      <w:pPr>
        <w:spacing w:after="60" w:line="276"/>
        <w:jc w:val="center"/>
      </w:pPr>
      <w:r>
        <w:rPr>
          <w:rFonts w:ascii="Times New Roman" w:cs="Times New Roman" w:eastAsia="Times New Roman" w:hAnsi="Times New Roman"/>
          <w:b/>
          <w:bCs/>
          <w:sz w:val="24"/>
          <w:szCs w:val="24"/>
        </w:rPr>
        <w:t xml:space="preserve">DUI–CHILD PASSENGER PROTECTION ACT</w:t>
      </w:r>
    </w:p>
    <w:p>
      <w:pPr>
        <w:spacing w:after="60" w:line="276"/>
        <w:jc w:val="center"/>
      </w:pPr>
      <w:r>
        <w:rPr>
          <w:rFonts w:ascii="Times New Roman" w:cs="Times New Roman" w:eastAsia="Times New Roman" w:hAnsi="Times New Roman"/>
          <w:b/>
          <w:bCs/>
          <w:sz w:val="24"/>
          <w:szCs w:val="24"/>
        </w:rPr>
        <w:t xml:space="preserve">FISCAL IMPACT SUMMARY</w:t>
      </w:r>
    </w:p>
    <w:p>
      <w:pPr>
        <w:spacing w:after="300" w:line="276"/>
        <w:jc w:val="center"/>
      </w:pPr>
      <w:r>
        <w:rPr>
          <w:rFonts w:ascii="Times New Roman" w:cs="Times New Roman" w:eastAsia="Times New Roman" w:hAnsi="Times New Roman"/>
          <w:i/>
          <w:iCs/>
          <w:sz w:val="18"/>
          <w:szCs w:val="18"/>
        </w:rPr>
        <w:t xml:space="preserve">Prepared by Crystal Peña, Protect Wyoming Kids, to accompany the final draft. This is a sponsor analysis for use by the Legislative Service Office, not an LSO fiscal note. October 14, 2026.</w:t>
      </w:r>
    </w:p>
    <w:p>
      <w:pPr>
        <w:spacing w:after="100" w:line="276"/>
      </w:pPr>
      <w:r>
        <w:rPr>
          <w:rFonts w:ascii="Times New Roman" w:cs="Times New Roman" w:eastAsia="Times New Roman" w:hAnsi="Times New Roman"/>
          <w:b/>
          <w:bCs/>
          <w:sz w:val="24"/>
          <w:szCs w:val="24"/>
        </w:rPr>
        <w:t xml:space="preserve">Summary.</w:t>
      </w:r>
    </w:p>
    <w:p>
      <w:pPr>
        <w:spacing w:after="240" w:line="276"/>
      </w:pPr>
      <w:r>
        <w:rPr>
          <w:rFonts w:ascii="Times New Roman" w:cs="Times New Roman" w:eastAsia="Times New Roman" w:hAnsi="Times New Roman"/>
          <w:sz w:val="24"/>
          <w:szCs w:val="24"/>
        </w:rPr>
        <w:t xml:space="preserve">No state revenue or state expenditure impact is anticipated. The bill creates no program, account, fund, fee or agency rulemaking authority. It sets minimum fines, but criminal fines go to county public school funds under Wyo. Const. art. 7, § 5, not to the state. The measurable cost is county jail bed days tied to the seven day and thirty day mandatory minimums, which is a local impact not quantified in a state fiscal note under Wyo. Stat. Ann. § 28-8-106(d).</w:t>
      </w:r>
    </w:p>
    <w:p>
      <w:pPr>
        <w:spacing w:after="100" w:line="276"/>
      </w:pPr>
      <w:r>
        <w:rPr>
          <w:rFonts w:ascii="Times New Roman" w:cs="Times New Roman" w:eastAsia="Times New Roman" w:hAnsi="Times New Roman"/>
          <w:b/>
          <w:bCs/>
          <w:sz w:val="24"/>
          <w:szCs w:val="24"/>
        </w:rPr>
        <w:t xml:space="preserve">Impact by provision.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1800"/>
        <w:gridCol w:w="1500"/>
        <w:gridCol w:w="3360"/>
      </w:tblGrid>
      <w:tr>
        <w:trPr>
          <w:tblHeader/>
        </w:trPr>
        <w:tc>
          <w:tcPr>
            <w:tcW w:type="dxa" w:w="2700"/>
            <w:tcBorders>
              <w:top w:val="single" w:color="000000" w:sz="4"/>
              <w:left w:val="single" w:color="000000" w:sz="4"/>
              <w:bottom w:val="single" w:color="000000" w:sz="4"/>
              <w:right w:val="single" w:color="000000" w:sz="4"/>
            </w:tcBorders>
            <w:shd w:fill="E7E7E7" w:color="auto" w:val="clear"/>
            <w:tcMar>
              <w:top w:type="dxa" w:w="60"/>
              <w:left w:type="dxa" w:w="100"/>
              <w:bottom w:type="dxa" w:w="60"/>
              <w:right w:type="dxa" w:w="100"/>
            </w:tcMar>
          </w:tcPr>
          <w:p>
            <w:r>
              <w:rPr>
                <w:rFonts w:ascii="Times New Roman" w:cs="Times New Roman" w:eastAsia="Times New Roman" w:hAnsi="Times New Roman"/>
                <w:b/>
                <w:bCs/>
                <w:sz w:val="20"/>
                <w:szCs w:val="20"/>
              </w:rPr>
              <w:t xml:space="preserve">Provision</w:t>
            </w:r>
          </w:p>
        </w:tc>
        <w:tc>
          <w:tcPr>
            <w:tcW w:type="dxa" w:w="1800"/>
            <w:tcBorders>
              <w:top w:val="single" w:color="000000" w:sz="4"/>
              <w:left w:val="single" w:color="000000" w:sz="4"/>
              <w:bottom w:val="single" w:color="000000" w:sz="4"/>
              <w:right w:val="single" w:color="000000" w:sz="4"/>
            </w:tcBorders>
            <w:shd w:fill="E7E7E7" w:color="auto" w:val="clear"/>
            <w:tcMar>
              <w:top w:type="dxa" w:w="60"/>
              <w:left w:type="dxa" w:w="100"/>
              <w:bottom w:type="dxa" w:w="60"/>
              <w:right w:type="dxa" w:w="100"/>
            </w:tcMar>
          </w:tcPr>
          <w:p>
            <w:r>
              <w:rPr>
                <w:rFonts w:ascii="Times New Roman" w:cs="Times New Roman" w:eastAsia="Times New Roman" w:hAnsi="Times New Roman"/>
                <w:b/>
                <w:bCs/>
                <w:sz w:val="20"/>
                <w:szCs w:val="20"/>
              </w:rPr>
              <w:t xml:space="preserve">State expenditure</w:t>
            </w:r>
          </w:p>
        </w:tc>
        <w:tc>
          <w:tcPr>
            <w:tcW w:type="dxa" w:w="1500"/>
            <w:tcBorders>
              <w:top w:val="single" w:color="000000" w:sz="4"/>
              <w:left w:val="single" w:color="000000" w:sz="4"/>
              <w:bottom w:val="single" w:color="000000" w:sz="4"/>
              <w:right w:val="single" w:color="000000" w:sz="4"/>
            </w:tcBorders>
            <w:shd w:fill="E7E7E7" w:color="auto" w:val="clear"/>
            <w:tcMar>
              <w:top w:type="dxa" w:w="60"/>
              <w:left w:type="dxa" w:w="100"/>
              <w:bottom w:type="dxa" w:w="60"/>
              <w:right w:type="dxa" w:w="100"/>
            </w:tcMar>
          </w:tcPr>
          <w:p>
            <w:r>
              <w:rPr>
                <w:rFonts w:ascii="Times New Roman" w:cs="Times New Roman" w:eastAsia="Times New Roman" w:hAnsi="Times New Roman"/>
                <w:b/>
                <w:bCs/>
                <w:sz w:val="20"/>
                <w:szCs w:val="20"/>
              </w:rPr>
              <w:t xml:space="preserve">State revenue</w:t>
            </w:r>
          </w:p>
        </w:tc>
        <w:tc>
          <w:tcPr>
            <w:tcW w:type="dxa" w:w="3360"/>
            <w:tcBorders>
              <w:top w:val="single" w:color="000000" w:sz="4"/>
              <w:left w:val="single" w:color="000000" w:sz="4"/>
              <w:bottom w:val="single" w:color="000000" w:sz="4"/>
              <w:right w:val="single" w:color="000000" w:sz="4"/>
            </w:tcBorders>
            <w:shd w:fill="E7E7E7" w:color="auto" w:val="clear"/>
            <w:tcMar>
              <w:top w:type="dxa" w:w="60"/>
              <w:left w:type="dxa" w:w="100"/>
              <w:bottom w:type="dxa" w:w="60"/>
              <w:right w:type="dxa" w:w="100"/>
            </w:tcMar>
          </w:tcPr>
          <w:p>
            <w:r>
              <w:rPr>
                <w:rFonts w:ascii="Times New Roman" w:cs="Times New Roman" w:eastAsia="Times New Roman" w:hAnsi="Times New Roman"/>
                <w:b/>
                <w:bCs/>
                <w:sz w:val="20"/>
                <w:szCs w:val="20"/>
              </w:rPr>
              <w:t xml:space="preserve">Notes</w:t>
            </w:r>
          </w:p>
        </w:tc>
      </w:tr>
      <w:tr>
        <w:trPr>
          <w:tblHeader w:val="false"/>
        </w:trPr>
        <w:tc>
          <w:tcPr>
            <w:tcW w:type="dxa" w:w="27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Times New Roman" w:cs="Times New Roman" w:eastAsia="Times New Roman" w:hAnsi="Times New Roman"/>
                <w:b w:val="false"/>
                <w:bCs w:val="false"/>
                <w:sz w:val="20"/>
                <w:szCs w:val="20"/>
              </w:rPr>
              <w:t xml:space="preserve">Sec. 1: child passenger age raised from 16 to 18, W.S. 31-5-233(a)(vi)</w:t>
            </w:r>
          </w:p>
        </w:tc>
        <w:tc>
          <w:tcPr>
            <w:tcW w:type="dxa" w:w="18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Times New Roman" w:cs="Times New Roman" w:eastAsia="Times New Roman" w:hAnsi="Times New Roman"/>
                <w:b w:val="false"/>
                <w:bCs w:val="false"/>
                <w:sz w:val="20"/>
                <w:szCs w:val="20"/>
              </w:rPr>
              <w:t xml:space="preserve">None anticipated</w:t>
            </w:r>
          </w:p>
        </w:tc>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Times New Roman" w:cs="Times New Roman" w:eastAsia="Times New Roman" w:hAnsi="Times New Roman"/>
                <w:b w:val="false"/>
                <w:bCs w:val="false"/>
                <w:sz w:val="20"/>
                <w:szCs w:val="20"/>
              </w:rPr>
              <w:t xml:space="preserve">None</w:t>
            </w:r>
          </w:p>
        </w:tc>
        <w:tc>
          <w:tcPr>
            <w:tcW w:type="dxa" w:w="336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Times New Roman" w:cs="Times New Roman" w:eastAsia="Times New Roman" w:hAnsi="Times New Roman"/>
                <w:b w:val="false"/>
                <w:bCs w:val="false"/>
                <w:sz w:val="20"/>
                <w:szCs w:val="20"/>
              </w:rPr>
              <w:t xml:space="preserve">Adds 16- and 17-year-old passengers to an existing provision. May add a small number of reports under the existing W.S. 14-3-205 duty; not quantified.</w:t>
            </w:r>
          </w:p>
        </w:tc>
      </w:tr>
      <w:tr>
        <w:trPr>
          <w:tblHeader w:val="false"/>
        </w:trPr>
        <w:tc>
          <w:tcPr>
            <w:tcW w:type="dxa" w:w="27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Times New Roman" w:cs="Times New Roman" w:eastAsia="Times New Roman" w:hAnsi="Times New Roman"/>
                <w:b w:val="false"/>
                <w:bCs w:val="false"/>
                <w:sz w:val="20"/>
                <w:szCs w:val="20"/>
              </w:rPr>
              <w:t xml:space="preserve">Sec. 2: seven day minimum term and $500 to $750 fine, W.S. 31-5-233(m)(i)</w:t>
            </w:r>
          </w:p>
        </w:tc>
        <w:tc>
          <w:tcPr>
            <w:tcW w:type="dxa" w:w="18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Times New Roman" w:cs="Times New Roman" w:eastAsia="Times New Roman" w:hAnsi="Times New Roman"/>
                <w:b w:val="false"/>
                <w:bCs w:val="false"/>
                <w:sz w:val="20"/>
                <w:szCs w:val="20"/>
              </w:rPr>
              <w:t xml:space="preserve">None</w:t>
            </w:r>
          </w:p>
        </w:tc>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Times New Roman" w:cs="Times New Roman" w:eastAsia="Times New Roman" w:hAnsi="Times New Roman"/>
                <w:b w:val="false"/>
                <w:bCs w:val="false"/>
                <w:sz w:val="20"/>
                <w:szCs w:val="20"/>
              </w:rPr>
              <w:t xml:space="preserve">None</w:t>
            </w:r>
          </w:p>
        </w:tc>
        <w:tc>
          <w:tcPr>
            <w:tcW w:type="dxa" w:w="336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Times New Roman" w:cs="Times New Roman" w:eastAsia="Times New Roman" w:hAnsi="Times New Roman"/>
                <w:b w:val="false"/>
                <w:bCs w:val="false"/>
                <w:sz w:val="20"/>
                <w:szCs w:val="20"/>
              </w:rPr>
              <w:t xml:space="preserve">Fine is now required, with a $500 minimum. Fine revenue goes to the county public school fund, not the state.</w:t>
            </w:r>
          </w:p>
        </w:tc>
      </w:tr>
      <w:tr>
        <w:trPr>
          <w:tblHeader w:val="false"/>
        </w:trPr>
        <w:tc>
          <w:tcPr>
            <w:tcW w:type="dxa" w:w="27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Times New Roman" w:cs="Times New Roman" w:eastAsia="Times New Roman" w:hAnsi="Times New Roman"/>
                <w:b w:val="false"/>
                <w:bCs w:val="false"/>
                <w:sz w:val="20"/>
                <w:szCs w:val="20"/>
              </w:rPr>
              <w:t xml:space="preserve">Sec. 2: thirty day minimum term and $2,000 to $5,000 fine for a second or subsequent conviction, W.S. 31-5-233(m)(ii)</w:t>
            </w:r>
          </w:p>
        </w:tc>
        <w:tc>
          <w:tcPr>
            <w:tcW w:type="dxa" w:w="18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Times New Roman" w:cs="Times New Roman" w:eastAsia="Times New Roman" w:hAnsi="Times New Roman"/>
                <w:b w:val="false"/>
                <w:bCs w:val="false"/>
                <w:sz w:val="20"/>
                <w:szCs w:val="20"/>
              </w:rPr>
              <w:t xml:space="preserve">None</w:t>
            </w:r>
          </w:p>
        </w:tc>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Times New Roman" w:cs="Times New Roman" w:eastAsia="Times New Roman" w:hAnsi="Times New Roman"/>
                <w:b w:val="false"/>
                <w:bCs w:val="false"/>
                <w:sz w:val="20"/>
                <w:szCs w:val="20"/>
              </w:rPr>
              <w:t xml:space="preserve">None</w:t>
            </w:r>
          </w:p>
        </w:tc>
        <w:tc>
          <w:tcPr>
            <w:tcW w:type="dxa" w:w="336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Times New Roman" w:cs="Times New Roman" w:eastAsia="Times New Roman" w:hAnsi="Times New Roman"/>
                <w:b w:val="false"/>
                <w:bCs w:val="false"/>
                <w:sz w:val="20"/>
                <w:szCs w:val="20"/>
              </w:rPr>
              <w:t xml:space="preserve">Jail cost falls on counties. Fine revenue goes to the county public school fund under Wyo. Const. art. 7, § 5, not to the state.</w:t>
            </w:r>
          </w:p>
        </w:tc>
      </w:tr>
      <w:tr>
        <w:trPr>
          <w:tblHeader w:val="false"/>
        </w:trPr>
        <w:tc>
          <w:tcPr>
            <w:tcW w:type="dxa" w:w="27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Times New Roman" w:cs="Times New Roman" w:eastAsia="Times New Roman" w:hAnsi="Times New Roman"/>
                <w:b w:val="false"/>
                <w:bCs w:val="false"/>
                <w:sz w:val="20"/>
                <w:szCs w:val="20"/>
              </w:rPr>
              <w:t xml:space="preserve">Sec. 2: ignition interlock for every (m) conviction, W.S. 31-5-233(m)(iii)</w:t>
            </w:r>
          </w:p>
        </w:tc>
        <w:tc>
          <w:tcPr>
            <w:tcW w:type="dxa" w:w="18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Times New Roman" w:cs="Times New Roman" w:eastAsia="Times New Roman" w:hAnsi="Times New Roman"/>
                <w:b w:val="false"/>
                <w:bCs w:val="false"/>
                <w:sz w:val="20"/>
                <w:szCs w:val="20"/>
              </w:rPr>
              <w:t xml:space="preserve">Minimal, absorbed</w:t>
            </w:r>
          </w:p>
        </w:tc>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Times New Roman" w:cs="Times New Roman" w:eastAsia="Times New Roman" w:hAnsi="Times New Roman"/>
                <w:b w:val="false"/>
                <w:bCs w:val="false"/>
                <w:sz w:val="20"/>
                <w:szCs w:val="20"/>
              </w:rPr>
              <w:t xml:space="preserve">None</w:t>
            </w:r>
          </w:p>
        </w:tc>
        <w:tc>
          <w:tcPr>
            <w:tcW w:type="dxa" w:w="336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Times New Roman" w:cs="Times New Roman" w:eastAsia="Times New Roman" w:hAnsi="Times New Roman"/>
                <w:b w:val="false"/>
                <w:bCs w:val="false"/>
                <w:sz w:val="20"/>
                <w:szCs w:val="20"/>
              </w:rPr>
              <w:t xml:space="preserve">Runs through the existing interlock statutes, W.S. 31-7-401 through 31-7-404, which WYDOT already administers under subsection (f). Adds cases to an existing process; no new program, provider system or fee. Court may use the existing 24/7 Sobriety Program instead of or alongside the interlock under amended subsection (n).</w:t>
            </w:r>
          </w:p>
        </w:tc>
      </w:tr>
      <w:tr>
        <w:trPr>
          <w:tblHeader w:val="false"/>
        </w:trPr>
        <w:tc>
          <w:tcPr>
            <w:tcW w:type="dxa" w:w="27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Times New Roman" w:cs="Times New Roman" w:eastAsia="Times New Roman" w:hAnsi="Times New Roman"/>
                <w:b w:val="false"/>
                <w:bCs w:val="false"/>
                <w:sz w:val="20"/>
                <w:szCs w:val="20"/>
              </w:rPr>
              <w:t xml:space="preserve">Sec. 3: minimum term is mandatory, new W.S. 31-5-233(o)</w:t>
            </w:r>
          </w:p>
        </w:tc>
        <w:tc>
          <w:tcPr>
            <w:tcW w:type="dxa" w:w="18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Times New Roman" w:cs="Times New Roman" w:eastAsia="Times New Roman" w:hAnsi="Times New Roman"/>
                <w:b w:val="false"/>
                <w:bCs w:val="false"/>
                <w:sz w:val="20"/>
                <w:szCs w:val="20"/>
              </w:rPr>
              <w:t xml:space="preserve">None</w:t>
            </w:r>
          </w:p>
        </w:tc>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Times New Roman" w:cs="Times New Roman" w:eastAsia="Times New Roman" w:hAnsi="Times New Roman"/>
                <w:b w:val="false"/>
                <w:bCs w:val="false"/>
                <w:sz w:val="20"/>
                <w:szCs w:val="20"/>
              </w:rPr>
              <w:t xml:space="preserve">None</w:t>
            </w:r>
          </w:p>
        </w:tc>
        <w:tc>
          <w:tcPr>
            <w:tcW w:type="dxa" w:w="336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Times New Roman" w:cs="Times New Roman" w:eastAsia="Times New Roman" w:hAnsi="Times New Roman"/>
                <w:b w:val="false"/>
                <w:bCs w:val="false"/>
                <w:sz w:val="20"/>
                <w:szCs w:val="20"/>
              </w:rPr>
              <w:t xml:space="preserve">Cost falls on county jails (local impact, see below).</w:t>
            </w:r>
          </w:p>
        </w:tc>
      </w:tr>
      <w:tr>
        <w:trPr>
          <w:tblHeader w:val="false"/>
        </w:trPr>
        <w:tc>
          <w:tcPr>
            <w:tcW w:type="dxa" w:w="27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Times New Roman" w:cs="Times New Roman" w:eastAsia="Times New Roman" w:hAnsi="Times New Roman"/>
                <w:b w:val="false"/>
                <w:bCs w:val="false"/>
                <w:sz w:val="20"/>
                <w:szCs w:val="20"/>
              </w:rPr>
              <w:t xml:space="preserve">Sec. 4: charging standard, W.S. 31-5-233(j)</w:t>
            </w:r>
          </w:p>
        </w:tc>
        <w:tc>
          <w:tcPr>
            <w:tcW w:type="dxa" w:w="18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Times New Roman" w:cs="Times New Roman" w:eastAsia="Times New Roman" w:hAnsi="Times New Roman"/>
                <w:b w:val="false"/>
                <w:bCs w:val="false"/>
                <w:sz w:val="20"/>
                <w:szCs w:val="20"/>
              </w:rPr>
              <w:t xml:space="preserve">None</w:t>
            </w:r>
          </w:p>
        </w:tc>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Times New Roman" w:cs="Times New Roman" w:eastAsia="Times New Roman" w:hAnsi="Times New Roman"/>
                <w:b w:val="false"/>
                <w:bCs w:val="false"/>
                <w:sz w:val="20"/>
                <w:szCs w:val="20"/>
              </w:rPr>
              <w:t xml:space="preserve">None</w:t>
            </w:r>
          </w:p>
        </w:tc>
        <w:tc>
          <w:tcPr>
            <w:tcW w:type="dxa" w:w="336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Times New Roman" w:cs="Times New Roman" w:eastAsia="Times New Roman" w:hAnsi="Times New Roman"/>
                <w:b w:val="false"/>
                <w:bCs w:val="false"/>
                <w:sz w:val="20"/>
                <w:szCs w:val="20"/>
              </w:rPr>
              <w:t xml:space="preserve">Applies the standard already in subsection (j).</w:t>
            </w:r>
          </w:p>
        </w:tc>
      </w:tr>
      <w:tr>
        <w:trPr>
          <w:tblHeader w:val="false"/>
        </w:trPr>
        <w:tc>
          <w:tcPr>
            <w:tcW w:type="dxa" w:w="27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Times New Roman" w:cs="Times New Roman" w:eastAsia="Times New Roman" w:hAnsi="Times New Roman"/>
                <w:b w:val="false"/>
                <w:bCs w:val="false"/>
                <w:sz w:val="20"/>
                <w:szCs w:val="20"/>
              </w:rPr>
              <w:t xml:space="preserve">Sec. 5: no deferred prosecution, W.S. 7-13-301(a)</w:t>
            </w:r>
          </w:p>
        </w:tc>
        <w:tc>
          <w:tcPr>
            <w:tcW w:type="dxa" w:w="18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Times New Roman" w:cs="Times New Roman" w:eastAsia="Times New Roman" w:hAnsi="Times New Roman"/>
                <w:b w:val="false"/>
                <w:bCs w:val="false"/>
                <w:sz w:val="20"/>
                <w:szCs w:val="20"/>
              </w:rPr>
              <w:t xml:space="preserve">None anticipated</w:t>
            </w:r>
          </w:p>
        </w:tc>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Times New Roman" w:cs="Times New Roman" w:eastAsia="Times New Roman" w:hAnsi="Times New Roman"/>
                <w:b w:val="false"/>
                <w:bCs w:val="false"/>
                <w:sz w:val="20"/>
                <w:szCs w:val="20"/>
              </w:rPr>
              <w:t xml:space="preserve">None</w:t>
            </w:r>
          </w:p>
        </w:tc>
        <w:tc>
          <w:tcPr>
            <w:tcW w:type="dxa" w:w="336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Times New Roman" w:cs="Times New Roman" w:eastAsia="Times New Roman" w:hAnsi="Times New Roman"/>
                <w:b w:val="false"/>
                <w:bCs w:val="false"/>
                <w:sz w:val="20"/>
                <w:szCs w:val="20"/>
              </w:rPr>
              <w:t xml:space="preserve">Adds the (m) case to the existing exclusion list.</w:t>
            </w:r>
          </w:p>
        </w:tc>
      </w:tr>
      <w:tr>
        <w:trPr>
          <w:tblHeader w:val="false"/>
        </w:trPr>
        <w:tc>
          <w:tcPr>
            <w:tcW w:type="dxa" w:w="27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Times New Roman" w:cs="Times New Roman" w:eastAsia="Times New Roman" w:hAnsi="Times New Roman"/>
                <w:b w:val="false"/>
                <w:bCs w:val="false"/>
                <w:sz w:val="20"/>
                <w:szCs w:val="20"/>
              </w:rPr>
              <w:t xml:space="preserve">Sec. 6: effective date, July 1, 2027</w:t>
            </w:r>
          </w:p>
        </w:tc>
        <w:tc>
          <w:tcPr>
            <w:tcW w:type="dxa" w:w="18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Times New Roman" w:cs="Times New Roman" w:eastAsia="Times New Roman" w:hAnsi="Times New Roman"/>
                <w:b w:val="false"/>
                <w:bCs w:val="false"/>
                <w:sz w:val="20"/>
                <w:szCs w:val="20"/>
              </w:rPr>
              <w:t xml:space="preserve">None</w:t>
            </w:r>
          </w:p>
        </w:tc>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Times New Roman" w:cs="Times New Roman" w:eastAsia="Times New Roman" w:hAnsi="Times New Roman"/>
                <w:b w:val="false"/>
                <w:bCs w:val="false"/>
                <w:sz w:val="20"/>
                <w:szCs w:val="20"/>
              </w:rPr>
              <w:t xml:space="preserve">None</w:t>
            </w:r>
          </w:p>
        </w:tc>
        <w:tc>
          <w:tcPr>
            <w:tcW w:type="dxa" w:w="336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rFonts w:ascii="Times New Roman" w:cs="Times New Roman" w:eastAsia="Times New Roman" w:hAnsi="Times New Roman"/>
                <w:b w:val="false"/>
                <w:bCs w:val="false"/>
                <w:sz w:val="20"/>
                <w:szCs w:val="20"/>
              </w:rPr>
              <w:t xml:space="preserve"/>
            </w:r>
          </w:p>
        </w:tc>
      </w:tr>
    </w:tbl>
    <w:p>
      <w:pPr>
        <w:spacing w:after="120" w:line="276"/>
      </w:pPr>
      <w:r>
        <w:rPr>
          <w:rFonts w:ascii="Times New Roman" w:cs="Times New Roman" w:eastAsia="Times New Roman" w:hAnsi="Times New Roman"/>
          <w:sz w:val="24"/>
          <w:szCs w:val="24"/>
        </w:rPr>
        <w:t xml:space="preserve"/>
      </w:r>
    </w:p>
    <w:p>
      <w:pPr>
        <w:spacing w:after="100" w:line="276"/>
      </w:pPr>
      <w:r>
        <w:rPr>
          <w:rFonts w:ascii="Times New Roman" w:cs="Times New Roman" w:eastAsia="Times New Roman" w:hAnsi="Times New Roman"/>
          <w:b/>
          <w:bCs/>
          <w:sz w:val="24"/>
          <w:szCs w:val="24"/>
        </w:rPr>
        <w:t xml:space="preserve">Assumptions.</w:t>
      </w:r>
    </w:p>
    <w:p>
      <w:pPr>
        <w:spacing w:after="160" w:line="276"/>
      </w:pPr>
      <w:r>
        <w:rPr>
          <w:rFonts w:ascii="Times New Roman" w:cs="Times New Roman" w:eastAsia="Times New Roman" w:hAnsi="Times New Roman"/>
          <w:sz w:val="24"/>
          <w:szCs w:val="24"/>
        </w:rPr>
        <w:t xml:space="preserve">The number of convictions under W.S. 31-5-233(m) stays in line with recent enforcement. Courts impose fines of $500 to $750 under (m)(i) and $2,000 to $5,000 under (m)(ii). Interlock orders under new paragraph (m)(iii) are handled the same way as interlock orders under subsection (f) today.</w:t>
      </w:r>
    </w:p>
    <w:p>
      <w:pPr>
        <w:spacing w:after="240" w:line="276"/>
      </w:pPr>
      <w:r>
        <w:rPr>
          <w:rFonts w:ascii="Times New Roman" w:cs="Times New Roman" w:eastAsia="Times New Roman" w:hAnsi="Times New Roman"/>
          <w:sz w:val="24"/>
          <w:szCs w:val="24"/>
        </w:rPr>
        <w:t xml:space="preserve">Some (m) defendants with an alcohol concentration of 0.15% or more already receive an interlock under W.S. 31-5-233(f)(ii), and every second conviction already carries one under (f)(iii). The interlock change mainly adds first convictions below 0.15%, and where both apply the periods run together.</w:t>
      </w:r>
    </w:p>
    <w:p>
      <w:pPr>
        <w:spacing w:after="100" w:line="276"/>
      </w:pPr>
      <w:r>
        <w:rPr>
          <w:rFonts w:ascii="Times New Roman" w:cs="Times New Roman" w:eastAsia="Times New Roman" w:hAnsi="Times New Roman"/>
          <w:b/>
          <w:bCs/>
          <w:sz w:val="24"/>
          <w:szCs w:val="24"/>
        </w:rPr>
        <w:t xml:space="preserve">Local government impact.</w:t>
      </w:r>
    </w:p>
    <w:p>
      <w:pPr>
        <w:spacing w:after="240" w:line="276"/>
      </w:pPr>
      <w:r>
        <w:rPr>
          <w:rFonts w:ascii="Times New Roman" w:cs="Times New Roman" w:eastAsia="Times New Roman" w:hAnsi="Times New Roman"/>
          <w:sz w:val="24"/>
          <w:szCs w:val="24"/>
        </w:rPr>
        <w:t xml:space="preserve">County jails will house first offenders under subsection (m) for at least seven days, and repeat offenders for at least thirty, where some now receive a suspended sentence or probation. That cost depends on how often (m) is charged today and how often the jail term is suspended. It is not quantified here, consistent with Wyo. Stat. Ann. § 28-8-106(d).</w:t>
      </w:r>
    </w:p>
    <w:p>
      <w:pPr>
        <w:spacing w:after="100" w:line="276"/>
      </w:pPr>
      <w:r>
        <w:rPr>
          <w:rFonts w:ascii="Times New Roman" w:cs="Times New Roman" w:eastAsia="Times New Roman" w:hAnsi="Times New Roman"/>
          <w:b/>
          <w:bCs/>
          <w:sz w:val="24"/>
          <w:szCs w:val="24"/>
        </w:rPr>
        <w:t xml:space="preserve">Figures requested and not yet available.</w:t>
      </w:r>
    </w:p>
    <w:p>
      <w:pPr>
        <w:spacing w:after="300" w:line="276"/>
      </w:pPr>
      <w:r>
        <w:rPr>
          <w:rFonts w:ascii="Times New Roman" w:cs="Times New Roman" w:eastAsia="Times New Roman" w:hAnsi="Times New Roman"/>
          <w:sz w:val="24"/>
          <w:szCs w:val="24"/>
        </w:rPr>
        <w:t xml:space="preserve">The sponsor has asked the Administrative Office of the Courts for aggregate data on first convictions under W.S. 31-5-233(m), the share of imposed sentences that were suspended, and the number of cases deferred under W.S. 7-13-301. No estimate is offered in place of those figures.</w:t>
      </w:r>
    </w:p>
    <w:p>
      <w:pPr>
        <w:spacing w:after="160" w:line="276"/>
        <w:jc w:val="center"/>
      </w:pPr>
      <w:r>
        <w:rPr>
          <w:rFonts w:ascii="Times New Roman" w:cs="Times New Roman" w:eastAsia="Times New Roman" w:hAnsi="Times New Roman"/>
          <w:i/>
          <w:iCs/>
          <w:sz w:val="24"/>
          <w:szCs w:val="24"/>
        </w:rPr>
        <w:t xml:space="preserve">Protect Wyoming Kids  ·  Mine. Yours. Ours.  ·  www.protectwyokids.com</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2026-10-14T23:03:22.641Z</dcterms:created>
  <dcterms:modified xsi:type="dcterms:W3CDTF">2026-10-14T23:03:22.642Z</dcterms:modified>
</cp:coreProperties>
</file>

<file path=docProps/custom.xml><?xml version="1.0" encoding="utf-8"?>
<Properties xmlns="http://schemas.openxmlformats.org/officeDocument/2006/custom-properties" xmlns:vt="http://schemas.openxmlformats.org/officeDocument/2006/docPropsVTypes"/>
</file>